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452C1" w14:textId="77777777" w:rsidR="006F2448" w:rsidRDefault="006F2448"/>
    <w:tbl>
      <w:tblPr>
        <w:tblStyle w:val="a"/>
        <w:tblW w:w="9075" w:type="dxa"/>
        <w:tblInd w:w="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2370"/>
        <w:gridCol w:w="1800"/>
        <w:gridCol w:w="1800"/>
        <w:gridCol w:w="1800"/>
      </w:tblGrid>
      <w:tr w:rsidR="006F2448" w14:paraId="005D4557" w14:textId="77777777">
        <w:tc>
          <w:tcPr>
            <w:tcW w:w="130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76C5D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4F2BF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Outcomes and Benefits of Scientific Sessions (What is the aim of scientific sessions)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13D64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 of these sessions (pedagogical/content/other)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CDB0D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to organise the sessions? (</w:t>
            </w:r>
            <w:proofErr w:type="gramStart"/>
            <w:r>
              <w:rPr>
                <w:b/>
                <w:sz w:val="20"/>
                <w:szCs w:val="20"/>
              </w:rPr>
              <w:t>e.g.</w:t>
            </w:r>
            <w:proofErr w:type="gramEnd"/>
            <w:r>
              <w:rPr>
                <w:b/>
                <w:sz w:val="20"/>
                <w:szCs w:val="20"/>
              </w:rPr>
              <w:t xml:space="preserve"> rotate among institutions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C64A1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Suggestions for content (-:</w:t>
            </w:r>
          </w:p>
        </w:tc>
      </w:tr>
      <w:tr w:rsidR="006F2448" w14:paraId="68788944" w14:textId="77777777">
        <w:tc>
          <w:tcPr>
            <w:tcW w:w="13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9CDB6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Group 1 (Guenter)</w:t>
            </w:r>
          </w:p>
        </w:tc>
        <w:tc>
          <w:tcPr>
            <w:tcW w:w="2370" w:type="dxa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56DF2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provide input as toolbox for </w:t>
            </w:r>
            <w:proofErr w:type="spellStart"/>
            <w:r>
              <w:rPr>
                <w:sz w:val="20"/>
                <w:szCs w:val="20"/>
              </w:rPr>
              <w:t>tropEd</w:t>
            </w:r>
            <w:proofErr w:type="spellEnd"/>
            <w:r>
              <w:rPr>
                <w:sz w:val="20"/>
                <w:szCs w:val="20"/>
              </w:rPr>
              <w:t xml:space="preserve"> actions or working groups. Allow host institutions to share topics. Current topics that come in.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7D947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 GA 2 hours, separated into 1hr content 1 hr pedagogical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74838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Planned ahead</w:t>
            </w:r>
            <w:proofErr w:type="gramEnd"/>
            <w:r>
              <w:rPr>
                <w:sz w:val="20"/>
                <w:szCs w:val="20"/>
              </w:rPr>
              <w:t xml:space="preserve"> by GA for the next max two GAs, organized by </w:t>
            </w:r>
            <w:proofErr w:type="spellStart"/>
            <w:r>
              <w:rPr>
                <w:sz w:val="20"/>
                <w:szCs w:val="20"/>
              </w:rPr>
              <w:t>EC+secretariat</w:t>
            </w:r>
            <w:proofErr w:type="spellEnd"/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A547F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Next GA: </w:t>
            </w:r>
            <w:proofErr w:type="spellStart"/>
            <w:r>
              <w:rPr>
                <w:sz w:val="20"/>
                <w:szCs w:val="20"/>
              </w:rPr>
              <w:t>pedag</w:t>
            </w:r>
            <w:proofErr w:type="spellEnd"/>
            <w:r>
              <w:rPr>
                <w:sz w:val="20"/>
                <w:szCs w:val="20"/>
              </w:rPr>
              <w:t xml:space="preserve">: theory of change; content: ecological governance of </w:t>
            </w:r>
            <w:proofErr w:type="spellStart"/>
            <w:r>
              <w:rPr>
                <w:sz w:val="20"/>
                <w:szCs w:val="20"/>
              </w:rPr>
              <w:t>troped</w:t>
            </w:r>
            <w:proofErr w:type="spellEnd"/>
            <w:r>
              <w:rPr>
                <w:sz w:val="20"/>
                <w:szCs w:val="20"/>
              </w:rPr>
              <w:t xml:space="preserve"> network</w:t>
            </w:r>
          </w:p>
        </w:tc>
      </w:tr>
      <w:tr w:rsidR="006F2448" w14:paraId="474D4E18" w14:textId="77777777">
        <w:tc>
          <w:tcPr>
            <w:tcW w:w="13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DCBA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Group 2 (Marie)</w:t>
            </w:r>
          </w:p>
        </w:tc>
        <w:tc>
          <w:tcPr>
            <w:tcW w:w="2370" w:type="dxa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EC269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Mutual learning opportunities</w:t>
            </w:r>
          </w:p>
          <w:p w14:paraId="2334ECEB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Share and Align knowledge</w:t>
            </w:r>
          </w:p>
          <w:p w14:paraId="4071C4BE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Knowledge about the specific focus of each advance modules</w:t>
            </w:r>
          </w:p>
          <w:p w14:paraId="679590E7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4CCA0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-Pedagogical/</w:t>
            </w:r>
          </w:p>
          <w:p w14:paraId="378B06BE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Didactic one per year</w:t>
            </w:r>
          </w:p>
          <w:p w14:paraId="6B8E8129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-Content related twice per year</w:t>
            </w:r>
          </w:p>
          <w:p w14:paraId="54FDEF70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2CD78B1B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-Sometimes two speakers with different views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06878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-Collect ideas from the whole network that then is collected (Romy?), shared and decided by the EC for the scientific sessions to come on a basis of every 3 months e.g.</w:t>
            </w:r>
          </w:p>
          <w:p w14:paraId="7EB49F61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725339A1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During GA, together decide which institutions will be responsible to plan the next Scientific Session (rotation basis). The Institution will participate in EC meetings and decide </w:t>
            </w:r>
            <w:proofErr w:type="spellStart"/>
            <w:r>
              <w:rPr>
                <w:sz w:val="20"/>
                <w:szCs w:val="20"/>
              </w:rPr>
              <w:t>togheted</w:t>
            </w:r>
            <w:proofErr w:type="spellEnd"/>
            <w:r>
              <w:rPr>
                <w:sz w:val="20"/>
                <w:szCs w:val="20"/>
              </w:rPr>
              <w:t xml:space="preserve"> the topic of the Scientific Session. In this way, all Institutions will feel engaged and committed.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6DD2E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-Sometimes students present their thesis</w:t>
            </w:r>
          </w:p>
          <w:p w14:paraId="36F02C1E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-New didactic/</w:t>
            </w:r>
          </w:p>
          <w:p w14:paraId="36D93EDC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pedagogical ideas</w:t>
            </w:r>
          </w:p>
        </w:tc>
      </w:tr>
      <w:tr w:rsidR="006F2448" w14:paraId="2753B75A" w14:textId="77777777">
        <w:tc>
          <w:tcPr>
            <w:tcW w:w="13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9D631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Group 3 (Carola)</w:t>
            </w:r>
          </w:p>
        </w:tc>
        <w:tc>
          <w:tcPr>
            <w:tcW w:w="2370" w:type="dxa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B1016" w14:textId="77777777" w:rsidR="006F2448" w:rsidRDefault="006A4D10">
            <w:pPr>
              <w:widowControl w:val="0"/>
              <w:spacing w:before="240" w:after="24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12"/>
                <w:szCs w:val="12"/>
              </w:rPr>
              <w:t xml:space="preserve">          </w:t>
            </w:r>
            <w:r>
              <w:rPr>
                <w:sz w:val="20"/>
                <w:szCs w:val="20"/>
              </w:rPr>
              <w:t>Technical (pedagogical): new competencies, knowledge and skills of the institutions</w:t>
            </w:r>
          </w:p>
          <w:p w14:paraId="7784E040" w14:textId="77777777" w:rsidR="006F2448" w:rsidRDefault="006A4D10">
            <w:pPr>
              <w:widowControl w:val="0"/>
              <w:spacing w:before="240" w:after="24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12"/>
                <w:szCs w:val="12"/>
              </w:rPr>
              <w:t xml:space="preserve">          </w:t>
            </w:r>
            <w:r>
              <w:rPr>
                <w:sz w:val="20"/>
                <w:szCs w:val="20"/>
              </w:rPr>
              <w:t xml:space="preserve">Collaborative: thinking though working together, </w:t>
            </w:r>
            <w:r>
              <w:rPr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sz w:val="20"/>
                <w:szCs w:val="20"/>
              </w:rPr>
              <w:t>e.g.</w:t>
            </w:r>
            <w:proofErr w:type="gramEnd"/>
            <w:r>
              <w:rPr>
                <w:sz w:val="20"/>
                <w:szCs w:val="20"/>
              </w:rPr>
              <w:t xml:space="preserve"> sustainability), applying for collaborative support/ funding</w:t>
            </w:r>
          </w:p>
          <w:p w14:paraId="3F9BE34C" w14:textId="77777777" w:rsidR="006F2448" w:rsidRDefault="006A4D10">
            <w:pPr>
              <w:widowControl w:val="0"/>
              <w:spacing w:before="240" w:after="24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present and share the strength of their work/ profile and take it back to our home institution</w:t>
            </w:r>
          </w:p>
          <w:p w14:paraId="5A6BB1C0" w14:textId="77777777" w:rsidR="006F2448" w:rsidRDefault="006A4D10">
            <w:pPr>
              <w:widowControl w:val="0"/>
              <w:spacing w:before="240" w:after="24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continuous professional development for all the individual members (accreditation): what is needed for individual accreditation of the session for different people/ countries?</w:t>
            </w:r>
          </w:p>
          <w:p w14:paraId="708EF61A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43E1B" w14:textId="77777777" w:rsidR="006F2448" w:rsidRDefault="006A4D10">
            <w:pPr>
              <w:widowControl w:val="0"/>
              <w:numPr>
                <w:ilvl w:val="0"/>
                <w:numId w:val="1"/>
              </w:numPr>
              <w:spacing w:line="240" w:lineRule="auto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Both sessions 1 hour (including 20-30 minutes discussion)</w:t>
            </w:r>
          </w:p>
          <w:p w14:paraId="674F529F" w14:textId="77777777" w:rsidR="006F2448" w:rsidRDefault="006A4D10">
            <w:pPr>
              <w:widowControl w:val="0"/>
              <w:numPr>
                <w:ilvl w:val="0"/>
                <w:numId w:val="1"/>
              </w:numPr>
              <w:spacing w:line="240" w:lineRule="auto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Workshop type of session for pedagogical </w:t>
            </w:r>
            <w:r>
              <w:rPr>
                <w:sz w:val="20"/>
                <w:szCs w:val="20"/>
              </w:rPr>
              <w:lastRenderedPageBreak/>
              <w:t>sessions with a more dynamic approach (2 hour)</w:t>
            </w:r>
          </w:p>
          <w:p w14:paraId="69217C2B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78BA" w14:textId="77777777" w:rsidR="006F2448" w:rsidRDefault="006A4D1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Suggestions for more practical/ pedagogical sessions from members (workshop-session). How to decide? </w:t>
            </w:r>
          </w:p>
          <w:p w14:paraId="1B15621F" w14:textId="77777777" w:rsidR="006F2448" w:rsidRDefault="006A4D1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Host institution: </w:t>
            </w:r>
            <w:r>
              <w:rPr>
                <w:sz w:val="20"/>
                <w:szCs w:val="20"/>
              </w:rPr>
              <w:lastRenderedPageBreak/>
              <w:t xml:space="preserve">content-related session, their expertise (cutting edge; research/ content), criteria from </w:t>
            </w:r>
            <w:proofErr w:type="spellStart"/>
            <w:r>
              <w:rPr>
                <w:sz w:val="20"/>
                <w:szCs w:val="20"/>
              </w:rPr>
              <w:t>tropEd</w:t>
            </w:r>
            <w:proofErr w:type="spellEnd"/>
            <w:r>
              <w:rPr>
                <w:sz w:val="20"/>
                <w:szCs w:val="20"/>
              </w:rPr>
              <w:t xml:space="preserve"> might be useful</w:t>
            </w:r>
          </w:p>
          <w:p w14:paraId="1E61FDFB" w14:textId="77777777" w:rsidR="006F2448" w:rsidRDefault="006F244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3AEF" w14:textId="77777777" w:rsidR="006F2448" w:rsidRDefault="006A4D1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forms of assessment</w:t>
            </w:r>
          </w:p>
          <w:p w14:paraId="6A36B7DE" w14:textId="77777777" w:rsidR="006F2448" w:rsidRDefault="006A4D1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terminology (different use of specific terms between the institutes)</w:t>
            </w:r>
          </w:p>
          <w:p w14:paraId="50389FB5" w14:textId="77777777" w:rsidR="006F2448" w:rsidRDefault="006A4D1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Challenges of online (hybrid/ blended) and </w:t>
            </w:r>
            <w:r>
              <w:rPr>
                <w:sz w:val="20"/>
                <w:szCs w:val="20"/>
              </w:rPr>
              <w:lastRenderedPageBreak/>
              <w:t>opportunities</w:t>
            </w:r>
          </w:p>
        </w:tc>
      </w:tr>
      <w:tr w:rsidR="006F2448" w14:paraId="684F9DED" w14:textId="77777777">
        <w:tc>
          <w:tcPr>
            <w:tcW w:w="13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DADF1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Group 4 (Karin)</w:t>
            </w:r>
          </w:p>
        </w:tc>
        <w:tc>
          <w:tcPr>
            <w:tcW w:w="2370" w:type="dxa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6E3E0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 as a network </w:t>
            </w:r>
          </w:p>
          <w:p w14:paraId="3090BC60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Mutual learning</w:t>
            </w:r>
          </w:p>
          <w:p w14:paraId="3B978AF6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→ learning on didactics </w:t>
            </w:r>
          </w:p>
          <w:p w14:paraId="3FBAE246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→ learning about global health which is a dynamic discipline (stay up to date about discourses within the discipline)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6846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Inputs on content could be brought in by external experts, so focus for scientific sessions from member institutions should be on pedagogical issues → ‘we need more pedagogical input as a network’</w:t>
            </w:r>
          </w:p>
          <w:p w14:paraId="08B84543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2045CA52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content sessions once per year (one content session, two pedagogical sessions) </w:t>
            </w:r>
          </w:p>
          <w:p w14:paraId="306F815C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40C26A88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Match content with hosting institution and their focus/strengths</w:t>
            </w:r>
          </w:p>
          <w:p w14:paraId="7D7DC183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5C75C430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No splitting of single sessions → focus on one issue (pedagogical/content) 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3A2F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knowledge and expertise level may not be the same in every institution</w:t>
            </w:r>
          </w:p>
          <w:p w14:paraId="3068E143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4296860E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Proposition by host institution of GA (also decides which format they would like to </w:t>
            </w:r>
            <w:proofErr w:type="gram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follow)→</w:t>
            </w:r>
            <w:proofErr w:type="gram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forwarded to EC which then ‘approves’</w:t>
            </w:r>
          </w:p>
          <w:p w14:paraId="23A1A233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AD85393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Opportunity for doctoral students to present their research and what is going on (opportunity for young voices) 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AE819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parts of hybrid courses should be conducted </w:t>
            </w:r>
            <w:proofErr w:type="gramStart"/>
            <w:r>
              <w:rPr>
                <w:sz w:val="20"/>
                <w:szCs w:val="20"/>
              </w:rPr>
              <w:t>online</w:t>
            </w:r>
            <w:proofErr w:type="gramEnd"/>
            <w:r>
              <w:rPr>
                <w:sz w:val="20"/>
                <w:szCs w:val="20"/>
              </w:rPr>
              <w:t xml:space="preserve"> and which parts must be in-person?</w:t>
            </w:r>
          </w:p>
          <w:p w14:paraId="4576DBAD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7BD65875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690C6DD2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teaching technologies</w:t>
            </w:r>
          </w:p>
          <w:p w14:paraId="1CDE1218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E68DF6A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6F2448" w14:paraId="60E70EB9" w14:textId="77777777">
        <w:tc>
          <w:tcPr>
            <w:tcW w:w="1305" w:type="dxa"/>
            <w:tcBorders>
              <w:top w:val="single" w:sz="12" w:space="0" w:color="000000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84AF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Group 5 (Rodney)</w:t>
            </w:r>
          </w:p>
        </w:tc>
        <w:tc>
          <w:tcPr>
            <w:tcW w:w="2370" w:type="dxa"/>
            <w:tcBorders>
              <w:top w:val="single" w:sz="12" w:space="0" w:color="000000"/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10383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reinforce pedagogical significance of network participation and offer opportunities to host institution students and other (hybrid) to benefit from </w:t>
            </w:r>
            <w:proofErr w:type="spellStart"/>
            <w:r>
              <w:t>tropEd</w:t>
            </w:r>
            <w:proofErr w:type="spellEnd"/>
            <w:r>
              <w:t xml:space="preserve"> discussions </w:t>
            </w:r>
          </w:p>
          <w:p w14:paraId="50A0C5E7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2D51EF0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Facilitate broad sharing of ideas and experiences within the network related to specific relevant topics</w:t>
            </w:r>
          </w:p>
          <w:p w14:paraId="0510A5DF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AB816D4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Formally solicit contributions from outside of the network</w:t>
            </w:r>
          </w:p>
        </w:tc>
        <w:tc>
          <w:tcPr>
            <w:tcW w:w="1800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0B369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annual OR every second GA. </w:t>
            </w:r>
          </w:p>
          <w:p w14:paraId="39FF884E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B1CE4EA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Establish as a </w:t>
            </w:r>
            <w:proofErr w:type="spellStart"/>
            <w:r>
              <w:t>day long</w:t>
            </w:r>
            <w:proofErr w:type="spellEnd"/>
            <w:r>
              <w:t xml:space="preserve"> feature of either the summer or winter GA. Avoid the autumn GA. </w:t>
            </w:r>
          </w:p>
          <w:p w14:paraId="3E86B0E9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03DB48F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Perhaps have a formal morning session with presentations and discussion and afternoon with workshops around the topic or theme that will emphasize how to incorporate discussed issues into practice </w:t>
            </w:r>
          </w:p>
          <w:p w14:paraId="6A44AA96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751381F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Have a standing working group with rotating </w:t>
            </w:r>
            <w:proofErr w:type="gramStart"/>
            <w:r>
              <w:t>annual  membership</w:t>
            </w:r>
            <w:proofErr w:type="gramEnd"/>
            <w:r>
              <w:t xml:space="preserve">. One EC member.   </w:t>
            </w:r>
          </w:p>
        </w:tc>
        <w:tc>
          <w:tcPr>
            <w:tcW w:w="1800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2F23A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WG in collaboration with host institution. </w:t>
            </w:r>
          </w:p>
          <w:p w14:paraId="6A73634D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7B55EB5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Invite external participation to present content</w:t>
            </w:r>
          </w:p>
          <w:p w14:paraId="33FF2883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EC1EC80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Ensure that the formal sessions are useful for students and treat them like formal teaching to which students could be invited. Perhaps students also become presenters</w:t>
            </w:r>
          </w:p>
          <w:p w14:paraId="509ACC35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D98E1B2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Decided/agreed within the GA but led by the WG</w:t>
            </w:r>
          </w:p>
        </w:tc>
        <w:tc>
          <w:tcPr>
            <w:tcW w:w="1800" w:type="dxa"/>
            <w:tcBorders>
              <w:top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75EB4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hot topics </w:t>
            </w:r>
          </w:p>
          <w:p w14:paraId="1498EE98" w14:textId="77777777" w:rsidR="006F2448" w:rsidRDefault="006F2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A05F078" w14:textId="77777777" w:rsidR="006F2448" w:rsidRDefault="006A4D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Planned and agreed in advance</w:t>
            </w:r>
          </w:p>
        </w:tc>
      </w:tr>
    </w:tbl>
    <w:p w14:paraId="1B2CB4F6" w14:textId="77777777" w:rsidR="006F2448" w:rsidRDefault="006F2448"/>
    <w:sectPr w:rsidR="006F244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E7DB7"/>
    <w:multiLevelType w:val="multilevel"/>
    <w:tmpl w:val="6082F1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B6041CF"/>
    <w:multiLevelType w:val="multilevel"/>
    <w:tmpl w:val="A5C029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48"/>
    <w:rsid w:val="002C2364"/>
    <w:rsid w:val="006041CF"/>
    <w:rsid w:val="006A4D10"/>
    <w:rsid w:val="006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E7E8"/>
  <w15:docId w15:val="{B5DDE49F-AD42-4509-AA98-7DC6EC56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3</Pages>
  <Words>732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Lindkvist</cp:lastModifiedBy>
  <cp:revision>2</cp:revision>
  <dcterms:created xsi:type="dcterms:W3CDTF">2021-12-06T08:12:00Z</dcterms:created>
  <dcterms:modified xsi:type="dcterms:W3CDTF">2021-12-06T08:12:00Z</dcterms:modified>
</cp:coreProperties>
</file>